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5" w:rsidRPr="008362C5" w:rsidRDefault="008362C5" w:rsidP="008362C5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362C5">
        <w:rPr>
          <w:rFonts w:eastAsia="Calibri"/>
          <w:b/>
          <w:sz w:val="28"/>
          <w:szCs w:val="28"/>
          <w:lang w:eastAsia="en-US"/>
        </w:rPr>
        <w:t>Информация по рейтингам, присвоенным Нижегородской области.</w:t>
      </w:r>
    </w:p>
    <w:p w:rsidR="008362C5" w:rsidRPr="008362C5" w:rsidRDefault="008362C5" w:rsidP="008362C5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2C5" w:rsidRPr="008362C5" w:rsidRDefault="00C42AFC" w:rsidP="0083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 июля</w:t>
      </w:r>
      <w:r w:rsidR="008362C5" w:rsidRPr="008362C5">
        <w:rPr>
          <w:b/>
          <w:sz w:val="28"/>
          <w:szCs w:val="28"/>
        </w:rPr>
        <w:t xml:space="preserve"> 2020 года</w:t>
      </w:r>
      <w:r w:rsidR="008362C5" w:rsidRPr="008362C5">
        <w:rPr>
          <w:sz w:val="28"/>
          <w:szCs w:val="28"/>
        </w:rPr>
        <w:t xml:space="preserve"> рейтинговое агентство </w:t>
      </w:r>
      <w:r w:rsidR="008362C5" w:rsidRPr="008362C5">
        <w:rPr>
          <w:b/>
          <w:sz w:val="28"/>
          <w:szCs w:val="28"/>
        </w:rPr>
        <w:t>«Эксперт РА»</w:t>
      </w:r>
      <w:r w:rsidR="008362C5" w:rsidRPr="008362C5">
        <w:rPr>
          <w:sz w:val="28"/>
          <w:szCs w:val="28"/>
        </w:rPr>
        <w:t xml:space="preserve"> подтвердило рейтинг кредитоспособности </w:t>
      </w:r>
      <w:r w:rsidR="008362C5" w:rsidRPr="008362C5">
        <w:rPr>
          <w:b/>
          <w:sz w:val="28"/>
          <w:szCs w:val="28"/>
        </w:rPr>
        <w:t xml:space="preserve">Нижегородской области на уровне ruА, </w:t>
      </w:r>
      <w:r w:rsidR="008362C5" w:rsidRPr="008362C5">
        <w:rPr>
          <w:sz w:val="28"/>
          <w:szCs w:val="28"/>
        </w:rPr>
        <w:t xml:space="preserve">прогноз «стабильный». </w:t>
      </w:r>
    </w:p>
    <w:p w:rsidR="008362C5" w:rsidRPr="008362C5" w:rsidRDefault="008362C5" w:rsidP="008362C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362C5">
        <w:rPr>
          <w:sz w:val="28"/>
          <w:szCs w:val="28"/>
        </w:rPr>
        <w:t xml:space="preserve">Рейтинговое агентство «Эксперт РА» также подтвердило кредитный рейтинг долговым инструментам Нижегородской области - </w:t>
      </w:r>
      <w:r w:rsidRPr="008362C5">
        <w:rPr>
          <w:b/>
          <w:sz w:val="28"/>
          <w:szCs w:val="28"/>
        </w:rPr>
        <w:t>облигациям серии 34009, 34010, 34012, 35011, 35013, 35014 на уровне ruА.</w:t>
      </w:r>
    </w:p>
    <w:p w:rsidR="00312643" w:rsidRPr="0022244D" w:rsidRDefault="008362C5" w:rsidP="008362C5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244D">
        <w:rPr>
          <w:rFonts w:eastAsia="Calibri"/>
          <w:sz w:val="28"/>
          <w:szCs w:val="28"/>
          <w:lang w:eastAsia="en-US"/>
        </w:rPr>
        <w:t>Аналитики «Эксперт РА»</w:t>
      </w:r>
      <w:r w:rsidRPr="0022244D">
        <w:rPr>
          <w:rFonts w:eastAsia="Calibri"/>
          <w:b/>
          <w:sz w:val="28"/>
          <w:szCs w:val="28"/>
          <w:lang w:eastAsia="en-US"/>
        </w:rPr>
        <w:t xml:space="preserve"> </w:t>
      </w:r>
      <w:r w:rsidRPr="0022244D">
        <w:rPr>
          <w:rFonts w:eastAsia="Calibri"/>
          <w:sz w:val="28"/>
          <w:szCs w:val="28"/>
          <w:lang w:eastAsia="en-US"/>
        </w:rPr>
        <w:t xml:space="preserve">отмечают </w:t>
      </w:r>
      <w:r w:rsidR="00312643" w:rsidRPr="0022244D">
        <w:rPr>
          <w:rFonts w:eastAsia="Calibri"/>
          <w:sz w:val="28"/>
          <w:szCs w:val="28"/>
          <w:lang w:eastAsia="en-US"/>
        </w:rPr>
        <w:t>высокий уровень бюджетной обеспеченности</w:t>
      </w:r>
      <w:r w:rsidR="009F637D" w:rsidRPr="009F637D">
        <w:rPr>
          <w:rFonts w:eastAsia="Calibri"/>
          <w:sz w:val="28"/>
          <w:szCs w:val="28"/>
          <w:lang w:eastAsia="en-US"/>
        </w:rPr>
        <w:t xml:space="preserve">: доля налоговых и </w:t>
      </w:r>
      <w:r w:rsidR="009F637D">
        <w:rPr>
          <w:rFonts w:eastAsia="Calibri"/>
          <w:sz w:val="28"/>
          <w:szCs w:val="28"/>
          <w:lang w:eastAsia="en-US"/>
        </w:rPr>
        <w:t xml:space="preserve">неналоговых доходов </w:t>
      </w:r>
      <w:r w:rsidR="009F637D" w:rsidRPr="009F637D">
        <w:rPr>
          <w:rFonts w:eastAsia="Calibri"/>
          <w:sz w:val="28"/>
          <w:szCs w:val="28"/>
          <w:lang w:eastAsia="en-US"/>
        </w:rPr>
        <w:t xml:space="preserve"> в доходах бюджета области превышает 80%.</w:t>
      </w:r>
    </w:p>
    <w:p w:rsidR="009F637D" w:rsidRDefault="00312643" w:rsidP="008362C5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244D">
        <w:rPr>
          <w:rFonts w:eastAsia="Calibri"/>
          <w:sz w:val="28"/>
          <w:szCs w:val="28"/>
          <w:lang w:eastAsia="en-US"/>
        </w:rPr>
        <w:t>Объем инвестиций региона в основной капитал</w:t>
      </w:r>
      <w:r w:rsidR="009F637D">
        <w:rPr>
          <w:rFonts w:eastAsia="Calibri"/>
          <w:sz w:val="28"/>
          <w:szCs w:val="28"/>
          <w:lang w:eastAsia="en-US"/>
        </w:rPr>
        <w:t xml:space="preserve"> </w:t>
      </w:r>
      <w:r w:rsidR="009F637D" w:rsidRPr="009F637D">
        <w:rPr>
          <w:rFonts w:eastAsia="Calibri"/>
          <w:sz w:val="28"/>
          <w:szCs w:val="28"/>
          <w:lang w:eastAsia="en-US"/>
        </w:rPr>
        <w:t xml:space="preserve">(за исключением бюджетных средств) </w:t>
      </w:r>
      <w:r w:rsidR="00664552">
        <w:rPr>
          <w:rFonts w:eastAsia="Calibri"/>
          <w:sz w:val="28"/>
          <w:szCs w:val="28"/>
          <w:lang w:eastAsia="en-US"/>
        </w:rPr>
        <w:t xml:space="preserve">в 2019 году </w:t>
      </w:r>
      <w:r w:rsidR="009F637D">
        <w:rPr>
          <w:rFonts w:eastAsia="Calibri"/>
          <w:sz w:val="28"/>
          <w:szCs w:val="28"/>
          <w:lang w:eastAsia="en-US"/>
        </w:rPr>
        <w:t>по</w:t>
      </w:r>
      <w:r w:rsidR="009F637D" w:rsidRPr="009F637D">
        <w:rPr>
          <w:rFonts w:eastAsia="Calibri"/>
          <w:sz w:val="28"/>
          <w:szCs w:val="28"/>
          <w:lang w:eastAsia="en-US"/>
        </w:rPr>
        <w:t xml:space="preserve"> сравнению с предыдущим годом</w:t>
      </w:r>
      <w:r w:rsidR="00664552">
        <w:rPr>
          <w:rFonts w:eastAsia="Calibri"/>
          <w:sz w:val="28"/>
          <w:szCs w:val="28"/>
          <w:lang w:eastAsia="en-US"/>
        </w:rPr>
        <w:t xml:space="preserve">, в сопоставимых ценах, </w:t>
      </w:r>
      <w:r w:rsidR="009F637D">
        <w:rPr>
          <w:rFonts w:eastAsia="Calibri"/>
          <w:sz w:val="28"/>
          <w:szCs w:val="28"/>
          <w:lang w:eastAsia="en-US"/>
        </w:rPr>
        <w:t xml:space="preserve">увеличился </w:t>
      </w:r>
      <w:r w:rsidR="009F637D" w:rsidRPr="009F637D">
        <w:rPr>
          <w:rFonts w:eastAsia="Calibri"/>
          <w:sz w:val="28"/>
          <w:szCs w:val="28"/>
          <w:lang w:eastAsia="en-US"/>
        </w:rPr>
        <w:t>на 8,3%</w:t>
      </w:r>
      <w:r w:rsidR="009F637D">
        <w:rPr>
          <w:rFonts w:eastAsia="Calibri"/>
          <w:sz w:val="28"/>
          <w:szCs w:val="28"/>
          <w:lang w:eastAsia="en-US"/>
        </w:rPr>
        <w:t>.</w:t>
      </w:r>
    </w:p>
    <w:p w:rsidR="0022244D" w:rsidRPr="0022244D" w:rsidRDefault="0022244D" w:rsidP="0022244D">
      <w:pPr>
        <w:ind w:firstLine="709"/>
      </w:pPr>
      <w:r w:rsidRPr="0022244D">
        <w:rPr>
          <w:rFonts w:eastAsia="Calibri"/>
          <w:sz w:val="28"/>
          <w:szCs w:val="28"/>
          <w:lang w:eastAsia="en-US"/>
        </w:rPr>
        <w:t xml:space="preserve">Региональный бюджет на протяжении трех последних лет исполнялся с профицитом. </w:t>
      </w:r>
    </w:p>
    <w:p w:rsidR="009F637D" w:rsidRDefault="0022244D" w:rsidP="0022244D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244D">
        <w:rPr>
          <w:rFonts w:eastAsia="Calibri"/>
          <w:sz w:val="28"/>
          <w:szCs w:val="28"/>
          <w:lang w:eastAsia="en-US"/>
        </w:rPr>
        <w:t xml:space="preserve">Кроме того, агентство отмечает </w:t>
      </w:r>
      <w:r w:rsidR="00207A3B" w:rsidRPr="0022244D">
        <w:rPr>
          <w:rFonts w:eastAsia="Calibri"/>
          <w:sz w:val="28"/>
          <w:szCs w:val="28"/>
          <w:lang w:eastAsia="en-US"/>
        </w:rPr>
        <w:t>низкую долговую нагрузку</w:t>
      </w:r>
      <w:r w:rsidR="009F637D">
        <w:rPr>
          <w:rFonts w:eastAsia="Calibri"/>
          <w:sz w:val="28"/>
          <w:szCs w:val="28"/>
          <w:lang w:eastAsia="en-US"/>
        </w:rPr>
        <w:t>:</w:t>
      </w:r>
      <w:r w:rsidR="00207A3B" w:rsidRPr="0022244D">
        <w:rPr>
          <w:rFonts w:eastAsia="Calibri"/>
          <w:sz w:val="28"/>
          <w:szCs w:val="28"/>
          <w:lang w:eastAsia="en-US"/>
        </w:rPr>
        <w:t xml:space="preserve"> </w:t>
      </w:r>
      <w:r w:rsidR="009F637D" w:rsidRPr="009F637D">
        <w:rPr>
          <w:rFonts w:eastAsia="Calibri"/>
          <w:sz w:val="28"/>
          <w:szCs w:val="28"/>
          <w:lang w:eastAsia="en-US"/>
        </w:rPr>
        <w:t>совокупный об</w:t>
      </w:r>
      <w:r w:rsidR="009F637D">
        <w:rPr>
          <w:rFonts w:eastAsia="Calibri"/>
          <w:sz w:val="28"/>
          <w:szCs w:val="28"/>
          <w:lang w:eastAsia="en-US"/>
        </w:rPr>
        <w:t xml:space="preserve">ъем долгового портфеля составляет </w:t>
      </w:r>
      <w:r w:rsidR="009F637D" w:rsidRPr="009F637D">
        <w:rPr>
          <w:rFonts w:eastAsia="Calibri"/>
          <w:sz w:val="28"/>
          <w:szCs w:val="28"/>
          <w:lang w:eastAsia="en-US"/>
        </w:rPr>
        <w:t xml:space="preserve">51,3% от </w:t>
      </w:r>
      <w:r w:rsidR="009F637D">
        <w:rPr>
          <w:rFonts w:eastAsia="Calibri"/>
          <w:sz w:val="28"/>
          <w:szCs w:val="28"/>
          <w:lang w:eastAsia="en-US"/>
        </w:rPr>
        <w:t>налоговых и неналоговых доходов.</w:t>
      </w: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8E1724" w:rsidRDefault="008E1724" w:rsidP="00165C22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8E1724" w:rsidSect="008E172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17891"/>
    <w:rsid w:val="00086CA2"/>
    <w:rsid w:val="00165C22"/>
    <w:rsid w:val="001D4A0A"/>
    <w:rsid w:val="001D5188"/>
    <w:rsid w:val="00207A3B"/>
    <w:rsid w:val="0022244D"/>
    <w:rsid w:val="00312643"/>
    <w:rsid w:val="004821CE"/>
    <w:rsid w:val="00664552"/>
    <w:rsid w:val="00727922"/>
    <w:rsid w:val="0077113B"/>
    <w:rsid w:val="007A2DC6"/>
    <w:rsid w:val="007E7141"/>
    <w:rsid w:val="008362C5"/>
    <w:rsid w:val="008E1724"/>
    <w:rsid w:val="00974A31"/>
    <w:rsid w:val="009F637D"/>
    <w:rsid w:val="00B77A38"/>
    <w:rsid w:val="00C42AFC"/>
    <w:rsid w:val="00D662D0"/>
    <w:rsid w:val="00DC15EE"/>
    <w:rsid w:val="00DD0A19"/>
    <w:rsid w:val="00E80D07"/>
    <w:rsid w:val="00EC1EAD"/>
    <w:rsid w:val="00E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2020-07-15T12:44:00Z</cp:lastPrinted>
  <dcterms:created xsi:type="dcterms:W3CDTF">2020-07-15T13:47:00Z</dcterms:created>
  <dcterms:modified xsi:type="dcterms:W3CDTF">2020-07-15T13:47:00Z</dcterms:modified>
</cp:coreProperties>
</file>