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5" w:rsidRPr="008362C5" w:rsidRDefault="008362C5" w:rsidP="008362C5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362C5">
        <w:rPr>
          <w:rFonts w:eastAsia="Calibri"/>
          <w:b/>
          <w:sz w:val="28"/>
          <w:szCs w:val="28"/>
          <w:lang w:eastAsia="en-US"/>
        </w:rPr>
        <w:t>Информация по рейтингам, присвоенным Нижегородской области.</w:t>
      </w:r>
    </w:p>
    <w:p w:rsidR="008362C5" w:rsidRPr="008362C5" w:rsidRDefault="008362C5" w:rsidP="008362C5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8362C5" w:rsidRDefault="00415FD3" w:rsidP="008362C5">
      <w:pPr>
        <w:spacing w:line="360" w:lineRule="auto"/>
        <w:ind w:firstLine="709"/>
        <w:jc w:val="both"/>
        <w:rPr>
          <w:sz w:val="28"/>
          <w:szCs w:val="28"/>
        </w:rPr>
      </w:pPr>
      <w:r w:rsidRPr="004B347C">
        <w:rPr>
          <w:b/>
          <w:sz w:val="28"/>
          <w:szCs w:val="28"/>
        </w:rPr>
        <w:t>30 д</w:t>
      </w:r>
      <w:r w:rsidR="00D6156B" w:rsidRPr="004B347C">
        <w:rPr>
          <w:b/>
          <w:sz w:val="28"/>
          <w:szCs w:val="28"/>
        </w:rPr>
        <w:t xml:space="preserve">екабря </w:t>
      </w:r>
      <w:r w:rsidR="008362C5" w:rsidRPr="004B347C">
        <w:rPr>
          <w:b/>
          <w:sz w:val="28"/>
          <w:szCs w:val="28"/>
        </w:rPr>
        <w:t>2020 года</w:t>
      </w:r>
      <w:r w:rsidR="008362C5" w:rsidRPr="008362C5">
        <w:rPr>
          <w:sz w:val="28"/>
          <w:szCs w:val="28"/>
        </w:rPr>
        <w:t xml:space="preserve"> рейтинговое агентство </w:t>
      </w:r>
      <w:r w:rsidR="008362C5" w:rsidRPr="008362C5">
        <w:rPr>
          <w:b/>
          <w:sz w:val="28"/>
          <w:szCs w:val="28"/>
        </w:rPr>
        <w:t>«Эксперт РА»</w:t>
      </w:r>
      <w:r w:rsidR="008362C5" w:rsidRPr="008362C5">
        <w:rPr>
          <w:sz w:val="28"/>
          <w:szCs w:val="28"/>
        </w:rPr>
        <w:t xml:space="preserve"> подтвердило рейтинг кредитоспособности </w:t>
      </w:r>
      <w:r w:rsidR="008362C5" w:rsidRPr="008362C5">
        <w:rPr>
          <w:b/>
          <w:sz w:val="28"/>
          <w:szCs w:val="28"/>
        </w:rPr>
        <w:t xml:space="preserve">Нижегородской области на уровне ruА, </w:t>
      </w:r>
      <w:r w:rsidR="008362C5" w:rsidRPr="008362C5">
        <w:rPr>
          <w:sz w:val="28"/>
          <w:szCs w:val="28"/>
        </w:rPr>
        <w:t xml:space="preserve">прогноз «стабильный». </w:t>
      </w:r>
    </w:p>
    <w:p w:rsidR="008362C5" w:rsidRPr="008362C5" w:rsidRDefault="008362C5" w:rsidP="008362C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362C5">
        <w:rPr>
          <w:sz w:val="28"/>
          <w:szCs w:val="28"/>
        </w:rPr>
        <w:t xml:space="preserve">Рейтинговое агентство «Эксперт РА» также подтвердило кредитный рейтинг долговым инструментам Нижегородской области - </w:t>
      </w:r>
      <w:r w:rsidRPr="008362C5">
        <w:rPr>
          <w:b/>
          <w:sz w:val="28"/>
          <w:szCs w:val="28"/>
        </w:rPr>
        <w:t>облигациям серии 34012, 35011, 35013, 35014</w:t>
      </w:r>
      <w:r w:rsidR="00D6156B">
        <w:rPr>
          <w:b/>
          <w:sz w:val="28"/>
          <w:szCs w:val="28"/>
        </w:rPr>
        <w:t>, 35015</w:t>
      </w:r>
      <w:r w:rsidRPr="008362C5">
        <w:rPr>
          <w:b/>
          <w:sz w:val="28"/>
          <w:szCs w:val="28"/>
        </w:rPr>
        <w:t xml:space="preserve"> на уровне ruА.</w:t>
      </w:r>
    </w:p>
    <w:p w:rsidR="00F100F4" w:rsidRPr="00F100F4" w:rsidRDefault="00F100F4" w:rsidP="00F100F4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Аналитики </w:t>
      </w:r>
      <w:r w:rsidRPr="00F100F4">
        <w:rPr>
          <w:rFonts w:eastAsia="Calibri"/>
          <w:sz w:val="28"/>
          <w:szCs w:val="28"/>
          <w:lang w:eastAsia="en-US"/>
        </w:rPr>
        <w:t>«Эксперт РА»</w:t>
      </w:r>
      <w:r>
        <w:rPr>
          <w:rFonts w:eastAsia="Calibri"/>
          <w:sz w:val="28"/>
          <w:szCs w:val="28"/>
          <w:lang w:eastAsia="en-US"/>
        </w:rPr>
        <w:t xml:space="preserve"> оценивают р</w:t>
      </w:r>
      <w:r w:rsidRPr="00F100F4">
        <w:rPr>
          <w:rFonts w:eastAsia="Calibri"/>
          <w:sz w:val="28"/>
          <w:szCs w:val="28"/>
          <w:lang w:eastAsia="en-US"/>
        </w:rPr>
        <w:t>егион</w:t>
      </w:r>
      <w:r w:rsidR="00F94B52">
        <w:rPr>
          <w:rFonts w:eastAsia="Calibri"/>
          <w:sz w:val="28"/>
          <w:szCs w:val="28"/>
          <w:lang w:eastAsia="en-US"/>
        </w:rPr>
        <w:t xml:space="preserve"> </w:t>
      </w:r>
      <w:r w:rsidR="00314177">
        <w:rPr>
          <w:rFonts w:eastAsia="Calibri"/>
          <w:sz w:val="28"/>
          <w:szCs w:val="28"/>
          <w:lang w:eastAsia="en-US"/>
        </w:rPr>
        <w:t xml:space="preserve">как </w:t>
      </w:r>
      <w:r>
        <w:rPr>
          <w:rFonts w:eastAsia="Calibri"/>
          <w:sz w:val="28"/>
          <w:szCs w:val="28"/>
          <w:lang w:eastAsia="en-US"/>
        </w:rPr>
        <w:t>характеризующийся</w:t>
      </w:r>
      <w:r w:rsidRPr="00F100F4">
        <w:rPr>
          <w:rFonts w:eastAsia="Calibri"/>
          <w:sz w:val="28"/>
          <w:szCs w:val="28"/>
          <w:lang w:eastAsia="en-US"/>
        </w:rPr>
        <w:t xml:space="preserve"> высокими размерными </w:t>
      </w:r>
      <w:r>
        <w:rPr>
          <w:rFonts w:eastAsia="Calibri"/>
          <w:sz w:val="28"/>
          <w:szCs w:val="28"/>
          <w:lang w:eastAsia="en-US"/>
        </w:rPr>
        <w:t>показателями, а также высоким уровнем показателей</w:t>
      </w:r>
      <w:r w:rsidRPr="00F100F4">
        <w:rPr>
          <w:rFonts w:eastAsia="Calibri"/>
          <w:sz w:val="28"/>
          <w:szCs w:val="28"/>
          <w:lang w:eastAsia="en-US"/>
        </w:rPr>
        <w:t xml:space="preserve"> благосостояния региона: объем ВРП, по оценке, за 2019 год составил 1,5</w:t>
      </w:r>
      <w:r w:rsidR="00852073">
        <w:rPr>
          <w:rFonts w:eastAsia="Calibri"/>
          <w:sz w:val="28"/>
          <w:szCs w:val="28"/>
          <w:lang w:eastAsia="en-US"/>
        </w:rPr>
        <w:t> </w:t>
      </w:r>
      <w:r w:rsidRPr="00F100F4">
        <w:rPr>
          <w:rFonts w:eastAsia="Calibri"/>
          <w:sz w:val="28"/>
          <w:szCs w:val="28"/>
          <w:lang w:eastAsia="en-US"/>
        </w:rPr>
        <w:t>трлн</w:t>
      </w:r>
      <w:r w:rsidR="0092447E">
        <w:rPr>
          <w:rFonts w:eastAsia="Calibri"/>
          <w:sz w:val="28"/>
          <w:szCs w:val="28"/>
          <w:lang w:eastAsia="en-US"/>
        </w:rPr>
        <w:t>.</w:t>
      </w:r>
      <w:r w:rsidRPr="00F100F4">
        <w:rPr>
          <w:rFonts w:eastAsia="Calibri"/>
          <w:sz w:val="28"/>
          <w:szCs w:val="28"/>
          <w:lang w:eastAsia="en-US"/>
        </w:rPr>
        <w:t xml:space="preserve"> рублей, что в сопоставимых ценах на 3,0% выше результатов предыдущего года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415FD3" w:rsidRPr="00415FD3">
        <w:rPr>
          <w:rFonts w:eastAsia="Calibri"/>
          <w:sz w:val="28"/>
          <w:szCs w:val="28"/>
          <w:lang w:eastAsia="en-US"/>
        </w:rPr>
        <w:t>среднемесячная заработная плата (по факту) – 35,2 тыс. рублей, что на 6,9% выше по сравнению с 2018 годом</w:t>
      </w:r>
      <w:r w:rsidRPr="00F100F4">
        <w:rPr>
          <w:rFonts w:eastAsia="Calibri"/>
          <w:sz w:val="28"/>
          <w:szCs w:val="28"/>
          <w:lang w:eastAsia="en-US"/>
        </w:rPr>
        <w:t xml:space="preserve">, среднегодовой уровень безработицы – 4,1%, что ниже уровня 2018 года и среднероссийского. </w:t>
      </w:r>
    </w:p>
    <w:p w:rsidR="00F100F4" w:rsidRDefault="00836588" w:rsidP="00F100F4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0F4">
        <w:rPr>
          <w:rFonts w:eastAsia="Calibri"/>
          <w:sz w:val="28"/>
          <w:szCs w:val="28"/>
          <w:lang w:eastAsia="en-US"/>
        </w:rPr>
        <w:t>Объем инвестиций в основной капитал (за исключением бюджетных средств) за 2019 год составил 257,3 млрд</w:t>
      </w:r>
      <w:r>
        <w:rPr>
          <w:rFonts w:eastAsia="Calibri"/>
          <w:sz w:val="28"/>
          <w:szCs w:val="28"/>
          <w:lang w:eastAsia="en-US"/>
        </w:rPr>
        <w:t>.</w:t>
      </w:r>
      <w:r w:rsidRPr="00F100F4">
        <w:rPr>
          <w:rFonts w:eastAsia="Calibri"/>
          <w:sz w:val="28"/>
          <w:szCs w:val="28"/>
          <w:lang w:eastAsia="en-US"/>
        </w:rPr>
        <w:t xml:space="preserve"> рублей и продемонстрировал рост на 14,</w:t>
      </w:r>
      <w:r>
        <w:rPr>
          <w:rFonts w:eastAsia="Calibri"/>
          <w:sz w:val="28"/>
          <w:szCs w:val="28"/>
          <w:lang w:eastAsia="en-US"/>
        </w:rPr>
        <w:t>6</w:t>
      </w:r>
      <w:r w:rsidRPr="00F100F4">
        <w:rPr>
          <w:rFonts w:eastAsia="Calibri"/>
          <w:sz w:val="28"/>
          <w:szCs w:val="28"/>
          <w:lang w:eastAsia="en-US"/>
        </w:rPr>
        <w:t xml:space="preserve">% по сравнению с предыдущим годом в действующих ценах, который обусловлен существенным ростом инвестиций в крупных обрабатывающих производствах, а также в сфере связи и информационных технологиях. </w:t>
      </w:r>
      <w:r w:rsidR="00F100F4" w:rsidRPr="00F100F4">
        <w:rPr>
          <w:rFonts w:eastAsia="Calibri"/>
          <w:sz w:val="28"/>
          <w:szCs w:val="28"/>
          <w:lang w:eastAsia="en-US"/>
        </w:rPr>
        <w:t>По итогам 2020 года ожидаются инвестиции в основной капитал (за</w:t>
      </w:r>
      <w:r w:rsidR="00852073">
        <w:rPr>
          <w:rFonts w:eastAsia="Calibri"/>
        </w:rPr>
        <w:t> </w:t>
      </w:r>
      <w:r w:rsidR="00F100F4" w:rsidRPr="00F100F4">
        <w:rPr>
          <w:rFonts w:eastAsia="Calibri"/>
          <w:sz w:val="28"/>
          <w:szCs w:val="28"/>
          <w:lang w:eastAsia="en-US"/>
        </w:rPr>
        <w:t>исключением бюджетных средств) в размере 273,</w:t>
      </w:r>
      <w:r w:rsidR="00415FD3">
        <w:rPr>
          <w:rFonts w:eastAsia="Calibri"/>
          <w:sz w:val="28"/>
          <w:szCs w:val="28"/>
          <w:lang w:eastAsia="en-US"/>
        </w:rPr>
        <w:t>2</w:t>
      </w:r>
      <w:r w:rsidR="00F100F4" w:rsidRPr="00F100F4">
        <w:rPr>
          <w:rFonts w:eastAsia="Calibri"/>
          <w:sz w:val="28"/>
          <w:szCs w:val="28"/>
          <w:lang w:eastAsia="en-US"/>
        </w:rPr>
        <w:t xml:space="preserve"> млрд</w:t>
      </w:r>
      <w:r>
        <w:rPr>
          <w:rFonts w:eastAsia="Calibri"/>
          <w:sz w:val="28"/>
          <w:szCs w:val="28"/>
          <w:lang w:eastAsia="en-US"/>
        </w:rPr>
        <w:t>.</w:t>
      </w:r>
      <w:r w:rsidR="00F100F4" w:rsidRPr="00F100F4">
        <w:rPr>
          <w:rFonts w:eastAsia="Calibri"/>
          <w:sz w:val="28"/>
          <w:szCs w:val="28"/>
          <w:lang w:eastAsia="en-US"/>
        </w:rPr>
        <w:t xml:space="preserve"> рублей</w:t>
      </w:r>
      <w:r w:rsidR="003C5797">
        <w:rPr>
          <w:rFonts w:eastAsia="Calibri"/>
          <w:sz w:val="28"/>
          <w:szCs w:val="28"/>
          <w:lang w:eastAsia="en-US"/>
        </w:rPr>
        <w:t>.</w:t>
      </w:r>
    </w:p>
    <w:p w:rsidR="003C5797" w:rsidRPr="00F100F4" w:rsidRDefault="003C5797" w:rsidP="00F100F4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797">
        <w:rPr>
          <w:rFonts w:eastAsia="Calibri"/>
          <w:sz w:val="28"/>
          <w:szCs w:val="28"/>
          <w:lang w:eastAsia="en-US"/>
        </w:rPr>
        <w:t>Показатели благосостояния региона находятся также на высоком уровне: объем ВРП на душу населения в 2019 году составил 461,9 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F100F4" w:rsidRPr="00F100F4" w:rsidRDefault="00F100F4" w:rsidP="00F100F4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0F4">
        <w:rPr>
          <w:rFonts w:eastAsia="Calibri"/>
          <w:sz w:val="28"/>
          <w:szCs w:val="28"/>
          <w:lang w:eastAsia="en-US"/>
        </w:rPr>
        <w:t xml:space="preserve">В 2019 году регион характеризовался высоким уровнем бюджетной обеспеченности: доля налоговых и неналоговых доходов в </w:t>
      </w:r>
      <w:r w:rsidR="0092447E">
        <w:rPr>
          <w:rFonts w:eastAsia="Calibri"/>
          <w:sz w:val="28"/>
          <w:szCs w:val="28"/>
          <w:lang w:eastAsia="en-US"/>
        </w:rPr>
        <w:t xml:space="preserve">общей сумме </w:t>
      </w:r>
      <w:r w:rsidRPr="00F100F4">
        <w:rPr>
          <w:rFonts w:eastAsia="Calibri"/>
          <w:sz w:val="28"/>
          <w:szCs w:val="28"/>
          <w:lang w:eastAsia="en-US"/>
        </w:rPr>
        <w:t>доход</w:t>
      </w:r>
      <w:r w:rsidR="0092447E">
        <w:rPr>
          <w:rFonts w:eastAsia="Calibri"/>
          <w:sz w:val="28"/>
          <w:szCs w:val="28"/>
          <w:lang w:eastAsia="en-US"/>
        </w:rPr>
        <w:t>ов</w:t>
      </w:r>
      <w:r w:rsidRPr="00F100F4">
        <w:rPr>
          <w:rFonts w:eastAsia="Calibri"/>
          <w:sz w:val="28"/>
          <w:szCs w:val="28"/>
          <w:lang w:eastAsia="en-US"/>
        </w:rPr>
        <w:t xml:space="preserve"> областного бюджета составляла 81,4%.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00F4">
        <w:rPr>
          <w:rFonts w:eastAsia="Calibri"/>
          <w:sz w:val="28"/>
          <w:szCs w:val="28"/>
          <w:lang w:eastAsia="en-US"/>
        </w:rPr>
        <w:t>По итогам 2020 года о</w:t>
      </w:r>
      <w:r>
        <w:rPr>
          <w:rFonts w:eastAsia="Calibri"/>
          <w:sz w:val="28"/>
          <w:szCs w:val="28"/>
          <w:lang w:eastAsia="en-US"/>
        </w:rPr>
        <w:t>жидается рост доходов на 16,7%</w:t>
      </w:r>
      <w:r w:rsidR="0092447E">
        <w:rPr>
          <w:rFonts w:eastAsia="Calibri"/>
          <w:sz w:val="28"/>
          <w:szCs w:val="28"/>
          <w:lang w:eastAsia="en-US"/>
        </w:rPr>
        <w:t xml:space="preserve"> к 2019 году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F100F4">
        <w:rPr>
          <w:rFonts w:eastAsia="Calibri"/>
          <w:sz w:val="28"/>
          <w:szCs w:val="28"/>
          <w:lang w:eastAsia="en-US"/>
        </w:rPr>
        <w:t>За десять месяцев 2020 года доходы регионального бюджета выросли на 11,9% по сравнению с</w:t>
      </w:r>
      <w:r w:rsidR="00852073">
        <w:rPr>
          <w:rFonts w:eastAsia="Calibri"/>
          <w:sz w:val="28"/>
          <w:szCs w:val="28"/>
          <w:lang w:eastAsia="en-US"/>
        </w:rPr>
        <w:t> </w:t>
      </w:r>
      <w:bookmarkStart w:id="0" w:name="_GoBack"/>
      <w:bookmarkEnd w:id="0"/>
      <w:r w:rsidRPr="00F100F4">
        <w:rPr>
          <w:rFonts w:eastAsia="Calibri"/>
          <w:sz w:val="28"/>
          <w:szCs w:val="28"/>
          <w:lang w:eastAsia="en-US"/>
        </w:rPr>
        <w:t>аналогичным периодом прошлого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F100F4" w:rsidRPr="00F100F4" w:rsidRDefault="00F100F4" w:rsidP="00F100F4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0F4">
        <w:rPr>
          <w:rFonts w:eastAsia="Calibri"/>
          <w:sz w:val="28"/>
          <w:szCs w:val="28"/>
          <w:lang w:eastAsia="en-US"/>
        </w:rPr>
        <w:t xml:space="preserve">Расходы региона в январе-октябре 2020 года выросли на 18,7% по сравнению с аналогичным периодом 2019 года. В структуре расходов региона преобладает социальная направленность. На финансовое </w:t>
      </w:r>
      <w:r w:rsidRPr="00F100F4">
        <w:rPr>
          <w:rFonts w:eastAsia="Calibri"/>
          <w:sz w:val="28"/>
          <w:szCs w:val="28"/>
          <w:lang w:eastAsia="en-US"/>
        </w:rPr>
        <w:lastRenderedPageBreak/>
        <w:t>обеспечение социальной политики, образования, здравоохранения, культуры, физкультуры и спорта в течение десят</w:t>
      </w:r>
      <w:r w:rsidR="003C5797">
        <w:rPr>
          <w:rFonts w:eastAsia="Calibri"/>
          <w:sz w:val="28"/>
          <w:szCs w:val="28"/>
          <w:lang w:eastAsia="en-US"/>
        </w:rPr>
        <w:t>и</w:t>
      </w:r>
      <w:r w:rsidRPr="00F100F4">
        <w:rPr>
          <w:rFonts w:eastAsia="Calibri"/>
          <w:sz w:val="28"/>
          <w:szCs w:val="28"/>
          <w:lang w:eastAsia="en-US"/>
        </w:rPr>
        <w:t xml:space="preserve"> месяцев 2020 года было направлено 109,4 млрд</w:t>
      </w:r>
      <w:r w:rsidR="00836588">
        <w:rPr>
          <w:rFonts w:eastAsia="Calibri"/>
          <w:sz w:val="28"/>
          <w:szCs w:val="28"/>
          <w:lang w:eastAsia="en-US"/>
        </w:rPr>
        <w:t>.</w:t>
      </w:r>
      <w:r w:rsidRPr="00F100F4">
        <w:rPr>
          <w:rFonts w:eastAsia="Calibri"/>
          <w:sz w:val="28"/>
          <w:szCs w:val="28"/>
          <w:lang w:eastAsia="en-US"/>
        </w:rPr>
        <w:t xml:space="preserve"> рублей, что выше аналогичного периода 2019 года на 19,9%. </w:t>
      </w:r>
    </w:p>
    <w:p w:rsidR="008E1724" w:rsidRDefault="003C5797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797">
        <w:rPr>
          <w:rFonts w:eastAsia="Calibri"/>
          <w:sz w:val="28"/>
          <w:szCs w:val="28"/>
          <w:lang w:eastAsia="en-US"/>
        </w:rPr>
        <w:t xml:space="preserve">Долговая нагрузка региона на 01.01.2020 оценивалась как умеренно низкая: совокупный объем долгового портфеля составил 74,7 млрд рублей или 51,3% </w:t>
      </w:r>
      <w:r w:rsidR="00A673C1">
        <w:rPr>
          <w:rFonts w:eastAsia="Calibri"/>
          <w:sz w:val="28"/>
          <w:szCs w:val="28"/>
          <w:lang w:eastAsia="en-US"/>
        </w:rPr>
        <w:t xml:space="preserve">от </w:t>
      </w:r>
      <w:r w:rsidR="00A673C1" w:rsidRPr="00A673C1">
        <w:rPr>
          <w:rFonts w:eastAsia="Calibri"/>
          <w:sz w:val="28"/>
          <w:szCs w:val="28"/>
          <w:lang w:eastAsia="en-US"/>
        </w:rPr>
        <w:t>налоговых и неналоговых доходов</w:t>
      </w:r>
      <w:r w:rsidRPr="003C5797">
        <w:rPr>
          <w:rFonts w:eastAsia="Calibri"/>
          <w:sz w:val="28"/>
          <w:szCs w:val="28"/>
          <w:lang w:eastAsia="en-US"/>
        </w:rPr>
        <w:t>.</w:t>
      </w: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8E1724" w:rsidSect="008E17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17891"/>
    <w:rsid w:val="00086CA2"/>
    <w:rsid w:val="00165C22"/>
    <w:rsid w:val="001D4A0A"/>
    <w:rsid w:val="001D5188"/>
    <w:rsid w:val="00207A3B"/>
    <w:rsid w:val="0022244D"/>
    <w:rsid w:val="00312643"/>
    <w:rsid w:val="00314177"/>
    <w:rsid w:val="003C5797"/>
    <w:rsid w:val="00415FD3"/>
    <w:rsid w:val="00466948"/>
    <w:rsid w:val="004B347C"/>
    <w:rsid w:val="00664552"/>
    <w:rsid w:val="00727922"/>
    <w:rsid w:val="0077113B"/>
    <w:rsid w:val="007A2DC6"/>
    <w:rsid w:val="007E7141"/>
    <w:rsid w:val="008362C5"/>
    <w:rsid w:val="00836588"/>
    <w:rsid w:val="00852073"/>
    <w:rsid w:val="008E1724"/>
    <w:rsid w:val="0092447E"/>
    <w:rsid w:val="00974A31"/>
    <w:rsid w:val="009F637D"/>
    <w:rsid w:val="00A673C1"/>
    <w:rsid w:val="00B77A38"/>
    <w:rsid w:val="00C42AFC"/>
    <w:rsid w:val="00D6156B"/>
    <w:rsid w:val="00D662D0"/>
    <w:rsid w:val="00DC15EE"/>
    <w:rsid w:val="00DD0A19"/>
    <w:rsid w:val="00E80D07"/>
    <w:rsid w:val="00EC1EAD"/>
    <w:rsid w:val="00EC2CDF"/>
    <w:rsid w:val="00F100F4"/>
    <w:rsid w:val="00F15289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2020-12-30T08:42:00Z</cp:lastPrinted>
  <dcterms:created xsi:type="dcterms:W3CDTF">2020-12-30T09:37:00Z</dcterms:created>
  <dcterms:modified xsi:type="dcterms:W3CDTF">2020-12-30T09:37:00Z</dcterms:modified>
</cp:coreProperties>
</file>